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3F1" w:rsidRDefault="002613F1" w:rsidP="002613F1">
      <w:pPr>
        <w:pStyle w:val="Appendix"/>
        <w:ind w:left="360"/>
      </w:pPr>
      <w:bookmarkStart w:id="0" w:name="_Toc405379185"/>
      <w:bookmarkStart w:id="1" w:name="_Toc405379323"/>
      <w:bookmarkStart w:id="2" w:name="_Toc405448116"/>
      <w:bookmarkStart w:id="3" w:name="_GoBack"/>
      <w:bookmarkEnd w:id="3"/>
      <w:r>
        <w:t>Magnet Power Supply (MPS) Self-Test</w:t>
      </w:r>
      <w:bookmarkEnd w:id="0"/>
      <w:bookmarkEnd w:id="1"/>
      <w:bookmarkEnd w:id="2"/>
    </w:p>
    <w:p w:rsidR="002613F1" w:rsidRDefault="002613F1" w:rsidP="002613F1">
      <w:r>
        <w:t>The MPS self-test will make sure that the basic functions of the MPS are operating properly. A Ramp</w:t>
      </w:r>
      <w:r>
        <w:noBreakHyphen/>
        <w:t>Down Accelerator (RDA) must be used.</w:t>
      </w:r>
    </w:p>
    <w:p w:rsidR="002613F1" w:rsidRDefault="002613F1" w:rsidP="002613F1"/>
    <w:tbl>
      <w:tblPr>
        <w:tblW w:w="0" w:type="auto"/>
        <w:tblBorders>
          <w:top w:val="single" w:sz="12" w:space="0" w:color="FF9900"/>
          <w:left w:val="single" w:sz="12" w:space="0" w:color="FF9900"/>
          <w:bottom w:val="single" w:sz="12" w:space="0" w:color="FF9900"/>
          <w:right w:val="single" w:sz="12" w:space="0" w:color="FF9900"/>
        </w:tblBorders>
        <w:tblLook w:val="01E0" w:firstRow="1" w:lastRow="1" w:firstColumn="1" w:lastColumn="1" w:noHBand="0" w:noVBand="0"/>
      </w:tblPr>
      <w:tblGrid>
        <w:gridCol w:w="1004"/>
        <w:gridCol w:w="8284"/>
      </w:tblGrid>
      <w:tr w:rsidR="002613F1" w:rsidTr="00FB6ABB">
        <w:trPr>
          <w:cantSplit/>
        </w:trPr>
        <w:tc>
          <w:tcPr>
            <w:tcW w:w="1004" w:type="dxa"/>
            <w:tcBorders>
              <w:top w:val="single" w:sz="12" w:space="0" w:color="FF9900"/>
              <w:left w:val="single" w:sz="12" w:space="0" w:color="FF9900"/>
              <w:bottom w:val="nil"/>
              <w:right w:val="nil"/>
            </w:tcBorders>
            <w:shd w:val="clear" w:color="auto" w:fill="FF9900"/>
            <w:vAlign w:val="center"/>
          </w:tcPr>
          <w:p w:rsidR="002613F1" w:rsidRDefault="002613F1" w:rsidP="00FB6ABB">
            <w:pPr>
              <w:tabs>
                <w:tab w:val="center" w:pos="4820"/>
                <w:tab w:val="right" w:leader="dot" w:pos="9639"/>
              </w:tabs>
              <w:jc w:val="center"/>
              <w:rPr>
                <w:rFonts w:cs="Arial"/>
                <w:b/>
                <w:spacing w:val="-1"/>
                <w:sz w:val="22"/>
                <w:szCs w:val="22"/>
                <w:lang w:val="nl-NL"/>
              </w:rPr>
            </w:pPr>
          </w:p>
        </w:tc>
        <w:tc>
          <w:tcPr>
            <w:tcW w:w="8284" w:type="dxa"/>
            <w:tcBorders>
              <w:top w:val="single" w:sz="12" w:space="0" w:color="FF9900"/>
              <w:left w:val="nil"/>
              <w:bottom w:val="nil"/>
              <w:right w:val="single" w:sz="12" w:space="0" w:color="FF9900"/>
            </w:tcBorders>
            <w:shd w:val="clear" w:color="auto" w:fill="FF9900"/>
            <w:vAlign w:val="center"/>
            <w:hideMark/>
          </w:tcPr>
          <w:p w:rsidR="002613F1" w:rsidRDefault="002613F1" w:rsidP="00FB6ABB">
            <w:pPr>
              <w:tabs>
                <w:tab w:val="center" w:pos="4820"/>
                <w:tab w:val="right" w:leader="dot" w:pos="9639"/>
              </w:tabs>
              <w:jc w:val="center"/>
              <w:rPr>
                <w:rFonts w:cs="Arial"/>
                <w:b/>
                <w:spacing w:val="-1"/>
                <w:lang w:val="nl-NL"/>
              </w:rPr>
            </w:pPr>
            <w:r>
              <w:rPr>
                <w:rFonts w:cs="Arial"/>
                <w:b/>
                <w:lang w:val="nl-NL"/>
              </w:rPr>
              <w:t>CAUTION</w:t>
            </w:r>
          </w:p>
        </w:tc>
      </w:tr>
      <w:tr w:rsidR="002613F1" w:rsidTr="00FB6ABB">
        <w:trPr>
          <w:cantSplit/>
        </w:trPr>
        <w:tc>
          <w:tcPr>
            <w:tcW w:w="1004" w:type="dxa"/>
            <w:tcBorders>
              <w:top w:val="nil"/>
              <w:left w:val="single" w:sz="12" w:space="0" w:color="FF9900"/>
              <w:bottom w:val="single" w:sz="12" w:space="0" w:color="FF9900"/>
              <w:right w:val="nil"/>
            </w:tcBorders>
            <w:vAlign w:val="center"/>
            <w:hideMark/>
          </w:tcPr>
          <w:p w:rsidR="002613F1" w:rsidRDefault="002613F1" w:rsidP="00FB6ABB">
            <w:pPr>
              <w:tabs>
                <w:tab w:val="center" w:pos="4820"/>
                <w:tab w:val="right" w:leader="dot" w:pos="9639"/>
              </w:tabs>
              <w:jc w:val="center"/>
              <w:rPr>
                <w:rFonts w:cs="Arial"/>
                <w:spacing w:val="-1"/>
                <w:lang w:val="nl-NL"/>
              </w:rPr>
            </w:pPr>
            <w:r>
              <w:rPr>
                <w:rFonts w:cs="Arial"/>
                <w:noProof/>
              </w:rPr>
              <w:drawing>
                <wp:inline distT="0" distB="0" distL="0" distR="0" wp14:anchorId="27CA49C7" wp14:editId="167D17A9">
                  <wp:extent cx="476250" cy="400050"/>
                  <wp:effectExtent l="0" t="0" r="0" b="0"/>
                  <wp:docPr id="2342" name="Picture 2342" descr="Caution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Caution_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8284" w:type="dxa"/>
            <w:tcBorders>
              <w:top w:val="nil"/>
              <w:left w:val="nil"/>
              <w:bottom w:val="single" w:sz="12" w:space="0" w:color="FF9900"/>
              <w:right w:val="single" w:sz="12" w:space="0" w:color="FF9900"/>
            </w:tcBorders>
            <w:shd w:val="clear" w:color="auto" w:fill="FFCC99"/>
            <w:vAlign w:val="center"/>
            <w:hideMark/>
          </w:tcPr>
          <w:p w:rsidR="002613F1" w:rsidRDefault="002613F1" w:rsidP="00FB6ABB">
            <w:pPr>
              <w:keepNext/>
              <w:keepLines/>
              <w:tabs>
                <w:tab w:val="center" w:pos="4383"/>
              </w:tabs>
              <w:spacing w:before="60" w:after="120"/>
              <w:ind w:right="-115"/>
              <w:rPr>
                <w:rFonts w:cs="Arial"/>
                <w:spacing w:val="-1"/>
                <w:lang w:val="nl-NL"/>
              </w:rPr>
            </w:pPr>
            <w:r>
              <w:rPr>
                <w:rFonts w:cs="Arial"/>
                <w:lang w:val="nl-NL"/>
              </w:rPr>
              <w:t>CHECK POLARITY</w:t>
            </w:r>
          </w:p>
          <w:p w:rsidR="002613F1" w:rsidRDefault="002613F1" w:rsidP="00FB6ABB">
            <w:pPr>
              <w:keepNext/>
              <w:keepLines/>
              <w:tabs>
                <w:tab w:val="center" w:pos="4383"/>
              </w:tabs>
              <w:spacing w:before="60" w:after="120"/>
              <w:ind w:right="-115"/>
              <w:rPr>
                <w:rFonts w:cs="Arial"/>
                <w:lang w:val="nl-NL"/>
              </w:rPr>
            </w:pPr>
            <w:r>
              <w:rPr>
                <w:rFonts w:cs="Arial"/>
                <w:lang w:val="nl-NL"/>
              </w:rPr>
              <w:t xml:space="preserve">Before you start the Self-Test, check that the installation of the </w:t>
            </w:r>
            <w:r>
              <w:rPr>
                <w:lang w:val="nl-NL"/>
              </w:rPr>
              <w:t xml:space="preserve">twist-lock </w:t>
            </w:r>
            <w:r>
              <w:rPr>
                <w:rFonts w:cs="Arial"/>
                <w:lang w:val="nl-NL"/>
              </w:rPr>
              <w:t>connectors is correct.</w:t>
            </w:r>
            <w:r>
              <w:rPr>
                <w:noProof/>
                <w:lang w:val="nl-NL"/>
              </w:rPr>
              <w:t xml:space="preserve"> </w:t>
            </w:r>
          </w:p>
          <w:p w:rsidR="002613F1" w:rsidRDefault="002613F1" w:rsidP="00FB6ABB">
            <w:pPr>
              <w:tabs>
                <w:tab w:val="center" w:pos="4820"/>
                <w:tab w:val="right" w:leader="dot" w:pos="9639"/>
              </w:tabs>
              <w:ind w:right="-108"/>
              <w:rPr>
                <w:rFonts w:cs="Arial"/>
                <w:spacing w:val="-1"/>
                <w:lang w:val="nl-NL"/>
              </w:rPr>
            </w:pPr>
            <w:r>
              <w:rPr>
                <w:noProof/>
                <w:spacing w:val="-1"/>
              </w:rPr>
              <w:drawing>
                <wp:anchor distT="0" distB="0" distL="114300" distR="114300" simplePos="0" relativeHeight="251659264" behindDoc="0" locked="0" layoutInCell="1" allowOverlap="1" wp14:anchorId="580162FE" wp14:editId="483F97BE">
                  <wp:simplePos x="0" y="0"/>
                  <wp:positionH relativeFrom="column">
                    <wp:posOffset>3758565</wp:posOffset>
                  </wp:positionH>
                  <wp:positionV relativeFrom="paragraph">
                    <wp:posOffset>-622300</wp:posOffset>
                  </wp:positionV>
                  <wp:extent cx="1085850" cy="1092200"/>
                  <wp:effectExtent l="0" t="0" r="0" b="0"/>
                  <wp:wrapSquare wrapText="bothSides"/>
                  <wp:docPr id="2407" name="Picture 2407" descr="Ramp B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Ramp Back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092200"/>
                          </a:xfrm>
                          <a:prstGeom prst="rect">
                            <a:avLst/>
                          </a:prstGeom>
                          <a:noFill/>
                        </pic:spPr>
                      </pic:pic>
                    </a:graphicData>
                  </a:graphic>
                </wp:anchor>
              </w:drawing>
            </w:r>
            <w:r>
              <w:rPr>
                <w:rFonts w:cs="Arial"/>
                <w:lang w:val="nl-NL"/>
              </w:rPr>
              <w:t>As seen at the right, the RED positive connector must be installed on the INBOARD terminal, labeled “POS”.</w:t>
            </w:r>
          </w:p>
        </w:tc>
      </w:tr>
    </w:tbl>
    <w:p w:rsidR="002613F1" w:rsidRDefault="002613F1" w:rsidP="002613F1">
      <w:pPr>
        <w:pStyle w:val="figure"/>
        <w:spacing w:before="60"/>
        <w:rPr>
          <w:rFonts w:ascii="Arial" w:hAnsi="Arial" w:cs="Arial"/>
          <w:sz w:val="20"/>
        </w:rPr>
      </w:pPr>
    </w:p>
    <w:p w:rsidR="002613F1" w:rsidRDefault="002613F1" w:rsidP="002613F1">
      <w:pPr>
        <w:spacing w:before="120"/>
        <w:rPr>
          <w:rFonts w:cs="Arial"/>
          <w:b/>
        </w:rPr>
      </w:pPr>
      <w:r>
        <w:rPr>
          <w:rFonts w:cs="Arial"/>
          <w:b/>
        </w:rPr>
        <w:t>Setup</w:t>
      </w:r>
    </w:p>
    <w:p w:rsidR="002613F1" w:rsidRDefault="002613F1" w:rsidP="002613F1">
      <w:pPr>
        <w:pStyle w:val="ListParagraph"/>
        <w:numPr>
          <w:ilvl w:val="1"/>
          <w:numId w:val="1"/>
        </w:numPr>
        <w:spacing w:before="120" w:after="120" w:line="276" w:lineRule="auto"/>
        <w:contextualSpacing w:val="0"/>
        <w:rPr>
          <w:rFonts w:cs="Arial"/>
        </w:rPr>
      </w:pPr>
      <w:r>
        <w:rPr>
          <w:rFonts w:cs="Arial"/>
        </w:rPr>
        <w:t>Make sure that the magnet power supply (MPS) is disconnected from the mains supply.</w:t>
      </w:r>
    </w:p>
    <w:p w:rsidR="002613F1" w:rsidRDefault="002613F1" w:rsidP="002613F1">
      <w:pPr>
        <w:pStyle w:val="ListParagraph"/>
        <w:numPr>
          <w:ilvl w:val="1"/>
          <w:numId w:val="1"/>
        </w:numPr>
        <w:spacing w:before="120" w:after="120" w:line="276" w:lineRule="auto"/>
        <w:contextualSpacing w:val="0"/>
        <w:rPr>
          <w:rFonts w:cs="Arial"/>
        </w:rPr>
      </w:pPr>
      <w:r>
        <w:rPr>
          <w:rFonts w:cs="Arial"/>
        </w:rPr>
        <w:t>Connect the high-current cable twist-lock connectors between the MPS and the RDA and connect the RDA Power Cable to the MPS connector J3.</w:t>
      </w:r>
    </w:p>
    <w:p w:rsidR="002613F1" w:rsidRDefault="002613F1" w:rsidP="002613F1">
      <w:pPr>
        <w:pStyle w:val="ListParagraph"/>
        <w:numPr>
          <w:ilvl w:val="1"/>
          <w:numId w:val="1"/>
        </w:numPr>
        <w:spacing w:before="120" w:after="120" w:line="276" w:lineRule="auto"/>
        <w:contextualSpacing w:val="0"/>
        <w:rPr>
          <w:rFonts w:cs="Arial"/>
        </w:rPr>
      </w:pPr>
      <w:r>
        <w:rPr>
          <w:rFonts w:cs="Arial"/>
        </w:rPr>
        <w:t xml:space="preserve">Make sure that the MPS mains circuit breaker is in the “0” (OFF) position. </w:t>
      </w:r>
    </w:p>
    <w:p w:rsidR="002613F1" w:rsidRDefault="002613F1" w:rsidP="002613F1">
      <w:pPr>
        <w:pStyle w:val="ListParagraph"/>
        <w:numPr>
          <w:ilvl w:val="1"/>
          <w:numId w:val="1"/>
        </w:numPr>
        <w:spacing w:before="120" w:after="120" w:line="276" w:lineRule="auto"/>
        <w:contextualSpacing w:val="0"/>
        <w:rPr>
          <w:rFonts w:cs="Arial"/>
        </w:rPr>
      </w:pPr>
      <w:r>
        <w:rPr>
          <w:rFonts w:cs="Arial"/>
        </w:rPr>
        <w:t>Make sure that the MPS Ramp Control Switch is in the “Discharge” position.</w:t>
      </w:r>
    </w:p>
    <w:p w:rsidR="002613F1" w:rsidRDefault="002613F1" w:rsidP="002613F1">
      <w:pPr>
        <w:pStyle w:val="ListParagraph"/>
        <w:numPr>
          <w:ilvl w:val="1"/>
          <w:numId w:val="1"/>
        </w:numPr>
        <w:spacing w:before="120" w:after="120" w:line="276" w:lineRule="auto"/>
        <w:contextualSpacing w:val="0"/>
        <w:rPr>
          <w:rFonts w:cs="Arial"/>
        </w:rPr>
      </w:pPr>
      <w:r>
        <w:rPr>
          <w:rFonts w:cs="Arial"/>
        </w:rPr>
        <w:t>Make sure that the Main Heater Switch is in the “0” (OFF) position.</w:t>
      </w:r>
    </w:p>
    <w:p w:rsidR="002613F1" w:rsidRDefault="002613F1" w:rsidP="002613F1">
      <w:pPr>
        <w:pStyle w:val="ListParagraph"/>
        <w:numPr>
          <w:ilvl w:val="1"/>
          <w:numId w:val="1"/>
        </w:numPr>
        <w:spacing w:before="120" w:after="120" w:line="276" w:lineRule="auto"/>
        <w:contextualSpacing w:val="0"/>
        <w:rPr>
          <w:rFonts w:cs="Arial"/>
        </w:rPr>
      </w:pPr>
      <w:r>
        <w:rPr>
          <w:rFonts w:cs="Arial"/>
        </w:rPr>
        <w:t>Make sure that the Meter Select Switch is in the “% Current” position.</w:t>
      </w:r>
    </w:p>
    <w:p w:rsidR="002613F1" w:rsidRDefault="002613F1" w:rsidP="002613F1">
      <w:pPr>
        <w:pStyle w:val="ListParagraph"/>
        <w:numPr>
          <w:ilvl w:val="1"/>
          <w:numId w:val="1"/>
        </w:numPr>
        <w:spacing w:before="120" w:after="120" w:line="276" w:lineRule="auto"/>
        <w:contextualSpacing w:val="0"/>
        <w:rPr>
          <w:rFonts w:cs="Arial"/>
        </w:rPr>
      </w:pPr>
      <w:r>
        <w:rPr>
          <w:rFonts w:cs="Arial"/>
        </w:rPr>
        <w:t xml:space="preserve">Make sure that the Set-point Potentiometer is set to 5.0. </w:t>
      </w:r>
    </w:p>
    <w:p w:rsidR="002613F1" w:rsidRPr="002613F1" w:rsidRDefault="002613F1" w:rsidP="002613F1">
      <w:pPr>
        <w:pStyle w:val="ListParagraph"/>
        <w:numPr>
          <w:ilvl w:val="1"/>
          <w:numId w:val="1"/>
        </w:numPr>
        <w:spacing w:before="120" w:after="120" w:line="276" w:lineRule="auto"/>
        <w:contextualSpacing w:val="0"/>
        <w:rPr>
          <w:rFonts w:cs="Arial"/>
        </w:rPr>
      </w:pPr>
      <w:r>
        <w:rPr>
          <w:rFonts w:cs="Arial"/>
        </w:rPr>
        <w:t>Connect the MPS to the mains supply.</w:t>
      </w:r>
    </w:p>
    <w:p w:rsidR="002613F1" w:rsidRDefault="002613F1" w:rsidP="002613F1">
      <w:pPr>
        <w:spacing w:before="120"/>
        <w:rPr>
          <w:rFonts w:cs="Arial"/>
          <w:b/>
        </w:rPr>
      </w:pPr>
      <w:r>
        <w:rPr>
          <w:rFonts w:cs="Arial"/>
          <w:b/>
        </w:rPr>
        <w:t>Power off checks</w:t>
      </w:r>
    </w:p>
    <w:p w:rsidR="002613F1" w:rsidRDefault="002613F1" w:rsidP="002613F1">
      <w:pPr>
        <w:pStyle w:val="ListParagraph"/>
        <w:numPr>
          <w:ilvl w:val="1"/>
          <w:numId w:val="2"/>
        </w:numPr>
        <w:spacing w:before="120" w:after="120" w:line="276" w:lineRule="auto"/>
        <w:contextualSpacing w:val="0"/>
        <w:rPr>
          <w:rFonts w:cs="Arial"/>
        </w:rPr>
      </w:pPr>
      <w:r>
        <w:rPr>
          <w:rFonts w:cs="Arial"/>
        </w:rPr>
        <w:t>Make sure the MPS mains circuit breaker is in the “0” (OFF) position. Make sure that the Main Heater switch is in the “0” (OFF) position.</w:t>
      </w:r>
    </w:p>
    <w:p w:rsidR="002613F1" w:rsidRPr="002613F1" w:rsidRDefault="002613F1" w:rsidP="002613F1">
      <w:pPr>
        <w:pStyle w:val="ListParagraph"/>
        <w:numPr>
          <w:ilvl w:val="1"/>
          <w:numId w:val="2"/>
        </w:numPr>
        <w:spacing w:before="120" w:after="120" w:line="276" w:lineRule="auto"/>
        <w:contextualSpacing w:val="0"/>
        <w:rPr>
          <w:rFonts w:cs="Arial"/>
        </w:rPr>
      </w:pPr>
      <w:r>
        <w:rPr>
          <w:rFonts w:cs="Arial"/>
        </w:rPr>
        <w:t xml:space="preserve">Place a voltmeter on J1 pins 6 (+) and 7 (-) (Main Heater). Make sure that the voltmeter reads ≤ 10 </w:t>
      </w:r>
      <w:proofErr w:type="spellStart"/>
      <w:r>
        <w:rPr>
          <w:rFonts w:cs="Arial"/>
        </w:rPr>
        <w:t>mVDC</w:t>
      </w:r>
      <w:proofErr w:type="spellEnd"/>
      <w:r>
        <w:rPr>
          <w:rFonts w:cs="Arial"/>
        </w:rPr>
        <w:t xml:space="preserve">. </w:t>
      </w:r>
    </w:p>
    <w:p w:rsidR="002613F1" w:rsidRDefault="002613F1" w:rsidP="002613F1">
      <w:pPr>
        <w:pStyle w:val="ListParagraph"/>
        <w:numPr>
          <w:ilvl w:val="1"/>
          <w:numId w:val="2"/>
        </w:numPr>
        <w:spacing w:before="120" w:after="120" w:line="276" w:lineRule="auto"/>
        <w:contextualSpacing w:val="0"/>
        <w:rPr>
          <w:rFonts w:cs="Arial"/>
        </w:rPr>
      </w:pPr>
      <w:r>
        <w:rPr>
          <w:rFonts w:cs="Arial"/>
        </w:rPr>
        <w:t xml:space="preserve">Place a voltmeter on J1 pins 4 (+) and 5 (-) (Bo Heater). Make sure that the voltmeter reads ≤ 10 </w:t>
      </w:r>
      <w:proofErr w:type="spellStart"/>
      <w:r>
        <w:rPr>
          <w:rFonts w:cs="Arial"/>
        </w:rPr>
        <w:t>mVDC</w:t>
      </w:r>
      <w:proofErr w:type="spellEnd"/>
      <w:r>
        <w:rPr>
          <w:rFonts w:cs="Arial"/>
        </w:rPr>
        <w:t xml:space="preserve">. </w:t>
      </w:r>
    </w:p>
    <w:p w:rsidR="00ED4F24" w:rsidRPr="00D0668C" w:rsidRDefault="00ED4F24" w:rsidP="00ED4F24">
      <w:pPr>
        <w:spacing w:before="120" w:after="120" w:line="276" w:lineRule="auto"/>
        <w:ind w:left="90"/>
        <w:rPr>
          <w:rFonts w:cs="Arial"/>
        </w:rPr>
      </w:pPr>
      <w:r w:rsidRPr="00D0668C">
        <w:rPr>
          <w:rFonts w:cs="Arial"/>
          <w:b/>
        </w:rPr>
        <w:t>B0 current source check</w:t>
      </w:r>
    </w:p>
    <w:p w:rsidR="00ED4F24" w:rsidRPr="002613F1" w:rsidRDefault="00ED4F24" w:rsidP="00ED4F24">
      <w:pPr>
        <w:numPr>
          <w:ilvl w:val="0"/>
          <w:numId w:val="7"/>
        </w:numPr>
        <w:rPr>
          <w:rFonts w:cs="Arial"/>
        </w:rPr>
      </w:pPr>
      <w:r w:rsidRPr="002613F1">
        <w:rPr>
          <w:rFonts w:cs="Arial"/>
        </w:rPr>
        <w:t xml:space="preserve">Switch the MPS mains circuit breaker to “1” (ON). </w:t>
      </w:r>
    </w:p>
    <w:p w:rsidR="00ED4F24" w:rsidRDefault="00ED4F24" w:rsidP="00ED4F24">
      <w:pPr>
        <w:pStyle w:val="ListParagraph"/>
        <w:numPr>
          <w:ilvl w:val="0"/>
          <w:numId w:val="7"/>
        </w:numPr>
        <w:spacing w:before="120" w:line="276" w:lineRule="auto"/>
        <w:rPr>
          <w:rFonts w:cs="Arial"/>
        </w:rPr>
      </w:pPr>
      <w:r w:rsidRPr="002613F1">
        <w:rPr>
          <w:rFonts w:cs="Arial"/>
        </w:rPr>
        <w:t xml:space="preserve">Make sure that the power indicator LED above the circuit breaker illuminates. </w:t>
      </w:r>
    </w:p>
    <w:p w:rsidR="00ED4F24" w:rsidRDefault="00ED4F24" w:rsidP="00ED4F24">
      <w:pPr>
        <w:pStyle w:val="ListParagraph"/>
        <w:numPr>
          <w:ilvl w:val="1"/>
          <w:numId w:val="7"/>
        </w:numPr>
        <w:spacing w:before="120" w:line="276" w:lineRule="auto"/>
        <w:rPr>
          <w:rFonts w:cs="Arial"/>
        </w:rPr>
      </w:pPr>
      <w:r w:rsidRPr="002613F1">
        <w:rPr>
          <w:rFonts w:cs="Arial"/>
        </w:rPr>
        <w:t>If the power on indicator does not illuminate or the cooling fan does not operate or the meter does not indicate 0</w:t>
      </w:r>
      <w:r w:rsidRPr="002613F1">
        <w:rPr>
          <w:rFonts w:cs="Arial"/>
        </w:rPr>
        <w:t xml:space="preserve">2%, check the mains supply. </w:t>
      </w:r>
    </w:p>
    <w:p w:rsidR="00ED4F24" w:rsidRPr="002613F1" w:rsidRDefault="00ED4F24" w:rsidP="00ED4F24">
      <w:pPr>
        <w:pStyle w:val="ListParagraph"/>
        <w:numPr>
          <w:ilvl w:val="1"/>
          <w:numId w:val="7"/>
        </w:numPr>
        <w:spacing w:before="120" w:line="276" w:lineRule="auto"/>
        <w:rPr>
          <w:rFonts w:cs="Arial"/>
        </w:rPr>
      </w:pPr>
      <w:r w:rsidRPr="002613F1">
        <w:rPr>
          <w:rFonts w:cs="Arial"/>
        </w:rPr>
        <w:t>If the mains supply is present, the MPS is defective.</w:t>
      </w:r>
    </w:p>
    <w:p w:rsidR="00ED4F24" w:rsidRDefault="00ED4F24" w:rsidP="00ED4F24">
      <w:pPr>
        <w:pStyle w:val="ListParagraph"/>
        <w:numPr>
          <w:ilvl w:val="0"/>
          <w:numId w:val="7"/>
        </w:numPr>
        <w:spacing w:before="120" w:line="276" w:lineRule="auto"/>
        <w:contextualSpacing w:val="0"/>
        <w:rPr>
          <w:rFonts w:cs="Arial"/>
        </w:rPr>
      </w:pPr>
      <w:r>
        <w:rPr>
          <w:rFonts w:cs="Arial"/>
        </w:rPr>
        <w:t>Make sure that the voltmeter reads 25</w:t>
      </w:r>
      <w:r>
        <w:rPr>
          <w:rFonts w:cs="Arial"/>
        </w:rPr>
        <w:sym w:font="Symbol" w:char="F0B1"/>
      </w:r>
      <w:r>
        <w:rPr>
          <w:rFonts w:cs="Arial"/>
        </w:rPr>
        <w:t xml:space="preserve">10 VDC on J1 pins 4 (+) and 5 (-) (Bo Heater). </w:t>
      </w:r>
    </w:p>
    <w:p w:rsidR="00ED4F24" w:rsidRDefault="00ED4F24" w:rsidP="00ED4F24">
      <w:pPr>
        <w:pStyle w:val="ListParagraph"/>
        <w:numPr>
          <w:ilvl w:val="2"/>
          <w:numId w:val="3"/>
        </w:numPr>
        <w:spacing w:before="120"/>
        <w:contextualSpacing w:val="0"/>
        <w:rPr>
          <w:rFonts w:cs="Arial"/>
        </w:rPr>
      </w:pPr>
      <w:r>
        <w:rPr>
          <w:rFonts w:cs="Arial"/>
        </w:rPr>
        <w:t xml:space="preserve">If it does not, the MPS is defective. </w:t>
      </w:r>
    </w:p>
    <w:p w:rsidR="00ED4F24" w:rsidRDefault="00ED4F24" w:rsidP="00ED4F24">
      <w:pPr>
        <w:pStyle w:val="ListParagraph"/>
        <w:numPr>
          <w:ilvl w:val="2"/>
          <w:numId w:val="3"/>
        </w:numPr>
        <w:spacing w:before="120"/>
        <w:contextualSpacing w:val="0"/>
        <w:rPr>
          <w:rFonts w:cs="Arial"/>
        </w:rPr>
      </w:pPr>
      <w:r>
        <w:rPr>
          <w:rFonts w:cs="Arial"/>
        </w:rPr>
        <w:t>If the B0 indicator illuminates during this test, the MPS is defective.</w:t>
      </w:r>
    </w:p>
    <w:p w:rsidR="002613F1" w:rsidRPr="00D0668C" w:rsidRDefault="002613F1" w:rsidP="002613F1">
      <w:pPr>
        <w:spacing w:before="120"/>
        <w:rPr>
          <w:rFonts w:cs="Arial"/>
          <w:b/>
        </w:rPr>
      </w:pPr>
      <w:r>
        <w:rPr>
          <w:rFonts w:cs="Arial"/>
          <w:b/>
        </w:rPr>
        <w:lastRenderedPageBreak/>
        <w:t>Main Heater</w:t>
      </w:r>
      <w:r w:rsidRPr="00D0668C">
        <w:rPr>
          <w:rFonts w:cs="Arial"/>
          <w:b/>
        </w:rPr>
        <w:t xml:space="preserve"> current source check</w:t>
      </w:r>
    </w:p>
    <w:p w:rsidR="002613F1" w:rsidRPr="002613F1" w:rsidRDefault="00ED4F24" w:rsidP="002613F1">
      <w:pPr>
        <w:pStyle w:val="ListParagraph"/>
        <w:numPr>
          <w:ilvl w:val="1"/>
          <w:numId w:val="4"/>
        </w:numPr>
        <w:spacing w:before="120" w:line="276" w:lineRule="auto"/>
        <w:rPr>
          <w:rFonts w:cs="Arial"/>
        </w:rPr>
      </w:pPr>
      <w:r>
        <w:rPr>
          <w:rFonts w:cs="Arial"/>
        </w:rPr>
        <w:t>Make sure</w:t>
      </w:r>
      <w:r w:rsidR="002613F1" w:rsidRPr="002613F1">
        <w:rPr>
          <w:rFonts w:cs="Arial"/>
        </w:rPr>
        <w:t xml:space="preserve"> the MPS mains circuit breaker </w:t>
      </w:r>
      <w:r>
        <w:rPr>
          <w:rFonts w:cs="Arial"/>
        </w:rPr>
        <w:t>is</w:t>
      </w:r>
      <w:r w:rsidR="002613F1" w:rsidRPr="002613F1">
        <w:rPr>
          <w:rFonts w:cs="Arial"/>
        </w:rPr>
        <w:t xml:space="preserve"> “1” (ON). </w:t>
      </w:r>
    </w:p>
    <w:p w:rsidR="002613F1" w:rsidRPr="00F94DE4" w:rsidRDefault="002613F1" w:rsidP="002613F1">
      <w:pPr>
        <w:pStyle w:val="ListParagraph"/>
        <w:numPr>
          <w:ilvl w:val="1"/>
          <w:numId w:val="4"/>
        </w:numPr>
        <w:spacing w:before="120" w:line="276" w:lineRule="auto"/>
        <w:contextualSpacing w:val="0"/>
        <w:rPr>
          <w:rFonts w:cs="Arial"/>
        </w:rPr>
      </w:pPr>
      <w:r>
        <w:rPr>
          <w:rFonts w:cs="Arial"/>
        </w:rPr>
        <w:t>Turn the Main Heater switch to “1” (ON). Make sure that the voltmeter reads 25</w:t>
      </w:r>
      <w:r>
        <w:rPr>
          <w:rFonts w:cs="Arial"/>
        </w:rPr>
        <w:sym w:font="Symbol" w:char="F0B1"/>
      </w:r>
      <w:r>
        <w:rPr>
          <w:rFonts w:cs="Arial"/>
        </w:rPr>
        <w:t>10 VDC</w:t>
      </w:r>
      <w:r w:rsidR="00ED4F24">
        <w:rPr>
          <w:rFonts w:cs="Arial"/>
        </w:rPr>
        <w:t xml:space="preserve"> J1 pins 6 (+) and 7 (-) (Main Heater)</w:t>
      </w:r>
      <w:r>
        <w:rPr>
          <w:rFonts w:cs="Arial"/>
        </w:rPr>
        <w:t xml:space="preserve">. </w:t>
      </w:r>
    </w:p>
    <w:p w:rsidR="002613F1" w:rsidRDefault="002613F1" w:rsidP="002613F1">
      <w:pPr>
        <w:pStyle w:val="ListParagraph"/>
        <w:numPr>
          <w:ilvl w:val="2"/>
          <w:numId w:val="3"/>
        </w:numPr>
        <w:spacing w:before="120"/>
        <w:contextualSpacing w:val="0"/>
        <w:rPr>
          <w:rFonts w:cs="Arial"/>
        </w:rPr>
      </w:pPr>
      <w:r>
        <w:rPr>
          <w:rFonts w:cs="Arial"/>
        </w:rPr>
        <w:t xml:space="preserve">If it does not, the MPS is defective. </w:t>
      </w:r>
    </w:p>
    <w:p w:rsidR="002613F1" w:rsidRPr="002613F1" w:rsidRDefault="002613F1" w:rsidP="002613F1">
      <w:pPr>
        <w:pStyle w:val="ListParagraph"/>
        <w:numPr>
          <w:ilvl w:val="2"/>
          <w:numId w:val="3"/>
        </w:numPr>
        <w:spacing w:before="120"/>
        <w:contextualSpacing w:val="0"/>
        <w:rPr>
          <w:rFonts w:cs="Arial"/>
        </w:rPr>
      </w:pPr>
      <w:r w:rsidRPr="00414B0C">
        <w:rPr>
          <w:rFonts w:cs="Arial"/>
        </w:rPr>
        <w:t>If the Main Heater indicator illuminates during this test, the MPS is defective.</w:t>
      </w:r>
    </w:p>
    <w:p w:rsidR="002613F1" w:rsidRDefault="002613F1" w:rsidP="00ED4F24">
      <w:pPr>
        <w:pStyle w:val="ListParagraph"/>
        <w:numPr>
          <w:ilvl w:val="1"/>
          <w:numId w:val="4"/>
        </w:numPr>
        <w:spacing w:before="120" w:after="120" w:line="276" w:lineRule="auto"/>
        <w:contextualSpacing w:val="0"/>
        <w:rPr>
          <w:rFonts w:cs="Arial"/>
        </w:rPr>
      </w:pPr>
      <w:r>
        <w:rPr>
          <w:rFonts w:cs="Arial"/>
        </w:rPr>
        <w:t xml:space="preserve">Turn the MPS mains circuit breaker to “0” (OFF). </w:t>
      </w:r>
    </w:p>
    <w:p w:rsidR="002613F1" w:rsidRPr="002613F1" w:rsidRDefault="002613F1" w:rsidP="00ED4F24">
      <w:pPr>
        <w:pStyle w:val="ListParagraph"/>
        <w:numPr>
          <w:ilvl w:val="1"/>
          <w:numId w:val="4"/>
        </w:numPr>
        <w:spacing w:before="120" w:after="120" w:line="276" w:lineRule="auto"/>
        <w:contextualSpacing w:val="0"/>
        <w:rPr>
          <w:rFonts w:cs="Arial"/>
        </w:rPr>
      </w:pPr>
      <w:r w:rsidRPr="002613F1">
        <w:rPr>
          <w:rFonts w:cs="Arial"/>
        </w:rPr>
        <w:t>Switch the MPS mains circuit breaker to “0” (OFF).</w:t>
      </w:r>
    </w:p>
    <w:p w:rsidR="002613F1" w:rsidRDefault="002613F1" w:rsidP="002613F1">
      <w:pPr>
        <w:spacing w:before="120"/>
        <w:rPr>
          <w:rFonts w:cs="Arial"/>
          <w:b/>
        </w:rPr>
      </w:pPr>
      <w:r w:rsidRPr="00D0668C">
        <w:rPr>
          <w:rFonts w:cs="Arial"/>
          <w:b/>
        </w:rPr>
        <w:t>MPS with RDA high current check:</w:t>
      </w:r>
    </w:p>
    <w:p w:rsidR="002613F1" w:rsidRDefault="002613F1" w:rsidP="002613F1">
      <w:pPr>
        <w:pStyle w:val="Figuur"/>
        <w:keepNext w:val="0"/>
        <w:spacing w:before="120"/>
      </w:pPr>
      <w:r>
        <w:rPr>
          <w:noProof/>
        </w:rPr>
        <w:drawing>
          <wp:inline distT="0" distB="0" distL="0" distR="0" wp14:anchorId="1CFB9EBE" wp14:editId="7C059318">
            <wp:extent cx="3476625" cy="1771650"/>
            <wp:effectExtent l="0" t="0" r="9525" b="0"/>
            <wp:docPr id="2341" name="Picture 2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6625" cy="1771650"/>
                    </a:xfrm>
                    <a:prstGeom prst="rect">
                      <a:avLst/>
                    </a:prstGeom>
                    <a:noFill/>
                    <a:ln>
                      <a:noFill/>
                    </a:ln>
                  </pic:spPr>
                </pic:pic>
              </a:graphicData>
            </a:graphic>
          </wp:inline>
        </w:drawing>
      </w:r>
    </w:p>
    <w:p w:rsidR="002613F1" w:rsidRDefault="002613F1" w:rsidP="002613F1">
      <w:pPr>
        <w:pStyle w:val="figure"/>
        <w:spacing w:before="60"/>
        <w:rPr>
          <w:rFonts w:ascii="Arial" w:hAnsi="Arial" w:cs="Arial"/>
          <w:sz w:val="20"/>
        </w:rPr>
      </w:pPr>
      <w:r>
        <w:rPr>
          <w:rFonts w:ascii="Arial" w:hAnsi="Arial" w:cs="Arial"/>
          <w:sz w:val="20"/>
        </w:rPr>
        <w:t>MPS with RDA high current check Configuration</w:t>
      </w:r>
    </w:p>
    <w:p w:rsidR="002613F1" w:rsidRPr="00D0668C" w:rsidRDefault="002613F1" w:rsidP="002613F1">
      <w:pPr>
        <w:spacing w:before="120"/>
        <w:rPr>
          <w:rFonts w:cs="Arial"/>
          <w:b/>
        </w:rPr>
      </w:pPr>
    </w:p>
    <w:p w:rsidR="002613F1" w:rsidRPr="002613F1" w:rsidRDefault="002613F1" w:rsidP="002613F1">
      <w:pPr>
        <w:numPr>
          <w:ilvl w:val="0"/>
          <w:numId w:val="6"/>
        </w:numPr>
        <w:rPr>
          <w:rFonts w:cs="Arial"/>
        </w:rPr>
      </w:pPr>
      <w:r>
        <w:rPr>
          <w:rFonts w:cs="Arial"/>
        </w:rPr>
        <w:t>Make sure</w:t>
      </w:r>
      <w:r w:rsidRPr="002613F1">
        <w:rPr>
          <w:rFonts w:cs="Arial"/>
        </w:rPr>
        <w:t xml:space="preserve"> the MPS mains circuit breaker</w:t>
      </w:r>
      <w:r>
        <w:rPr>
          <w:rFonts w:cs="Arial"/>
        </w:rPr>
        <w:t xml:space="preserve"> and the Main Heater switch</w:t>
      </w:r>
      <w:r w:rsidRPr="002613F1">
        <w:rPr>
          <w:rFonts w:cs="Arial"/>
        </w:rPr>
        <w:t xml:space="preserve"> </w:t>
      </w:r>
      <w:r>
        <w:rPr>
          <w:rFonts w:cs="Arial"/>
        </w:rPr>
        <w:t>are</w:t>
      </w:r>
      <w:r w:rsidRPr="002613F1">
        <w:rPr>
          <w:rFonts w:cs="Arial"/>
        </w:rPr>
        <w:t xml:space="preserve"> “0” (OFF). </w:t>
      </w:r>
    </w:p>
    <w:p w:rsidR="002613F1" w:rsidRDefault="002613F1" w:rsidP="002613F1">
      <w:pPr>
        <w:pStyle w:val="ListParagraph"/>
        <w:numPr>
          <w:ilvl w:val="0"/>
          <w:numId w:val="6"/>
        </w:numPr>
        <w:spacing w:before="120" w:after="120" w:line="276" w:lineRule="auto"/>
        <w:contextualSpacing w:val="0"/>
        <w:rPr>
          <w:rFonts w:cs="Arial"/>
        </w:rPr>
      </w:pPr>
      <w:r>
        <w:rPr>
          <w:rFonts w:cs="Arial"/>
        </w:rPr>
        <w:t>Connect the end of the Instrumentation Cable (CM2) labeled “MBP2” to J2 on the rear panel of the MPS. The opposite end of the cable (labeled “P1”) must be attached to J1.</w:t>
      </w:r>
    </w:p>
    <w:p w:rsidR="002613F1" w:rsidRDefault="002613F1" w:rsidP="002613F1">
      <w:pPr>
        <w:pStyle w:val="ListParagraph"/>
        <w:numPr>
          <w:ilvl w:val="0"/>
          <w:numId w:val="6"/>
        </w:numPr>
        <w:spacing w:before="120" w:after="120" w:line="276" w:lineRule="auto"/>
        <w:contextualSpacing w:val="0"/>
        <w:rPr>
          <w:rFonts w:cs="Arial"/>
        </w:rPr>
      </w:pPr>
      <w:r>
        <w:rPr>
          <w:rFonts w:cs="Arial"/>
        </w:rPr>
        <w:t xml:space="preserve">Switch the MPS mains circuit breaker to “1” (ON). </w:t>
      </w:r>
    </w:p>
    <w:p w:rsidR="002613F1" w:rsidRDefault="002613F1" w:rsidP="002613F1">
      <w:pPr>
        <w:pStyle w:val="ListParagraph"/>
        <w:numPr>
          <w:ilvl w:val="0"/>
          <w:numId w:val="6"/>
        </w:numPr>
        <w:spacing w:before="120" w:after="120" w:line="276" w:lineRule="auto"/>
        <w:contextualSpacing w:val="0"/>
        <w:rPr>
          <w:rFonts w:cs="Arial"/>
        </w:rPr>
      </w:pPr>
      <w:r>
        <w:rPr>
          <w:rFonts w:cs="Arial"/>
        </w:rPr>
        <w:t>Switch the MPS Ramp Control from “Discharge” to “</w:t>
      </w:r>
      <w:proofErr w:type="spellStart"/>
      <w:r>
        <w:rPr>
          <w:rFonts w:cs="Arial"/>
        </w:rPr>
        <w:t>Setpoint</w:t>
      </w:r>
      <w:proofErr w:type="spellEnd"/>
      <w:r>
        <w:rPr>
          <w:rFonts w:cs="Arial"/>
        </w:rPr>
        <w:t xml:space="preserve">”. The RDA contactor should “click” loudly as it shorts out the RDA resistor. </w:t>
      </w:r>
    </w:p>
    <w:p w:rsidR="002613F1" w:rsidRDefault="002613F1" w:rsidP="002613F1">
      <w:pPr>
        <w:pStyle w:val="ListParagraph"/>
        <w:numPr>
          <w:ilvl w:val="1"/>
          <w:numId w:val="6"/>
        </w:numPr>
        <w:spacing w:before="120" w:after="120" w:line="276" w:lineRule="auto"/>
        <w:contextualSpacing w:val="0"/>
        <w:rPr>
          <w:rFonts w:cs="Arial"/>
        </w:rPr>
      </w:pPr>
      <w:r>
        <w:rPr>
          <w:rFonts w:cs="Arial"/>
        </w:rPr>
        <w:t>If no “click” is heard, remove the RDA Power Cable from MPS connector J3 and measure 24</w:t>
      </w:r>
      <w:r>
        <w:rPr>
          <w:rFonts w:cs="Arial"/>
        </w:rPr>
        <w:sym w:font="Symbol" w:char="F0B1"/>
      </w:r>
      <w:r>
        <w:rPr>
          <w:rFonts w:cs="Arial"/>
        </w:rPr>
        <w:t xml:space="preserve">5 VDC between pins 1 (+) and 5 (-) of J3. </w:t>
      </w:r>
    </w:p>
    <w:p w:rsidR="002613F1" w:rsidRDefault="002613F1" w:rsidP="002613F1">
      <w:pPr>
        <w:pStyle w:val="ListParagraph"/>
        <w:numPr>
          <w:ilvl w:val="1"/>
          <w:numId w:val="6"/>
        </w:numPr>
        <w:spacing w:before="120" w:after="120" w:line="276" w:lineRule="auto"/>
        <w:contextualSpacing w:val="0"/>
        <w:rPr>
          <w:rFonts w:cs="Arial"/>
        </w:rPr>
      </w:pPr>
      <w:r>
        <w:rPr>
          <w:rFonts w:cs="Arial"/>
        </w:rPr>
        <w:t xml:space="preserve">If the voltage is not within the given tolerance, then the MPS is defective. </w:t>
      </w:r>
    </w:p>
    <w:p w:rsidR="002613F1" w:rsidRDefault="002613F1" w:rsidP="002613F1">
      <w:pPr>
        <w:pStyle w:val="ListParagraph"/>
        <w:numPr>
          <w:ilvl w:val="1"/>
          <w:numId w:val="6"/>
        </w:numPr>
        <w:spacing w:before="120" w:after="120" w:line="276" w:lineRule="auto"/>
        <w:contextualSpacing w:val="0"/>
        <w:rPr>
          <w:rFonts w:cs="Arial"/>
        </w:rPr>
      </w:pPr>
      <w:r>
        <w:rPr>
          <w:rFonts w:cs="Arial"/>
        </w:rPr>
        <w:t>If 24 VDC is present, then the RDA is defective.</w:t>
      </w:r>
    </w:p>
    <w:p w:rsidR="002613F1" w:rsidRDefault="002613F1" w:rsidP="002613F1">
      <w:pPr>
        <w:pStyle w:val="ListParagraph"/>
        <w:numPr>
          <w:ilvl w:val="0"/>
          <w:numId w:val="6"/>
        </w:numPr>
        <w:spacing w:before="120" w:after="120" w:line="276" w:lineRule="auto"/>
        <w:contextualSpacing w:val="0"/>
        <w:rPr>
          <w:rFonts w:cs="Arial"/>
        </w:rPr>
      </w:pPr>
      <w:r>
        <w:rPr>
          <w:rFonts w:cs="Arial"/>
        </w:rPr>
        <w:t>Make sure that the % Current Meter indicates 100</w:t>
      </w:r>
      <w:r>
        <w:rPr>
          <w:rFonts w:cs="Arial"/>
        </w:rPr>
        <w:sym w:font="Symbol" w:char="F0B1"/>
      </w:r>
      <w:r>
        <w:rPr>
          <w:rFonts w:cs="Arial"/>
        </w:rPr>
        <w:t>2% one minute after the MPS Ramp Control is switched to “</w:t>
      </w:r>
      <w:proofErr w:type="spellStart"/>
      <w:r>
        <w:rPr>
          <w:rFonts w:cs="Arial"/>
        </w:rPr>
        <w:t>Setpoint</w:t>
      </w:r>
      <w:proofErr w:type="spellEnd"/>
      <w:r>
        <w:rPr>
          <w:rFonts w:cs="Arial"/>
        </w:rPr>
        <w:t xml:space="preserve">”. </w:t>
      </w:r>
    </w:p>
    <w:p w:rsidR="002613F1" w:rsidRDefault="002613F1" w:rsidP="002613F1">
      <w:pPr>
        <w:pStyle w:val="ListParagraph"/>
        <w:numPr>
          <w:ilvl w:val="1"/>
          <w:numId w:val="6"/>
        </w:numPr>
        <w:spacing w:before="120" w:after="120" w:line="276" w:lineRule="auto"/>
        <w:contextualSpacing w:val="0"/>
        <w:rPr>
          <w:rFonts w:cs="Arial"/>
        </w:rPr>
      </w:pPr>
      <w:r>
        <w:rPr>
          <w:rFonts w:cs="Arial"/>
        </w:rPr>
        <w:t>If the % Current Meter does not indicate that the MPS is at 100% current, then the MPS is defective.</w:t>
      </w:r>
    </w:p>
    <w:p w:rsidR="002613F1" w:rsidRDefault="002613F1" w:rsidP="002613F1">
      <w:pPr>
        <w:pStyle w:val="ListParagraph"/>
        <w:numPr>
          <w:ilvl w:val="0"/>
          <w:numId w:val="6"/>
        </w:numPr>
        <w:spacing w:before="120" w:after="120" w:line="276" w:lineRule="auto"/>
        <w:contextualSpacing w:val="0"/>
        <w:rPr>
          <w:rFonts w:cs="Arial"/>
        </w:rPr>
      </w:pPr>
      <w:r>
        <w:rPr>
          <w:rFonts w:cs="Arial"/>
        </w:rPr>
        <w:t xml:space="preserve">With the Main Heater switch in the “1” (ON) position, switch the MPS Ramp Control to “Discharge”. </w:t>
      </w:r>
    </w:p>
    <w:p w:rsidR="002613F1" w:rsidRDefault="002613F1" w:rsidP="002613F1">
      <w:pPr>
        <w:pStyle w:val="ListParagraph"/>
        <w:numPr>
          <w:ilvl w:val="1"/>
          <w:numId w:val="6"/>
        </w:numPr>
        <w:spacing w:before="120" w:after="120" w:line="276" w:lineRule="auto"/>
        <w:contextualSpacing w:val="0"/>
        <w:rPr>
          <w:rFonts w:cs="Arial"/>
        </w:rPr>
      </w:pPr>
      <w:r>
        <w:rPr>
          <w:rFonts w:cs="Arial"/>
        </w:rPr>
        <w:t xml:space="preserve">Make sure that a loud “click” can be heard from the RDA contactor as the contactor opens the short circuit across the RDA resistor. </w:t>
      </w:r>
    </w:p>
    <w:p w:rsidR="002613F1" w:rsidRDefault="002613F1" w:rsidP="002613F1">
      <w:pPr>
        <w:pStyle w:val="ListParagraph"/>
        <w:numPr>
          <w:ilvl w:val="1"/>
          <w:numId w:val="6"/>
        </w:numPr>
        <w:spacing w:before="120" w:after="120" w:line="276" w:lineRule="auto"/>
        <w:contextualSpacing w:val="0"/>
        <w:rPr>
          <w:rFonts w:cs="Arial"/>
        </w:rPr>
      </w:pPr>
      <w:r>
        <w:rPr>
          <w:rFonts w:cs="Arial"/>
        </w:rPr>
        <w:lastRenderedPageBreak/>
        <w:t>Make sure that the % Current Meter indicates 0</w:t>
      </w:r>
      <w:r>
        <w:rPr>
          <w:rFonts w:cs="Arial"/>
        </w:rPr>
        <w:sym w:font="Symbol" w:char="F0B1"/>
      </w:r>
      <w:r>
        <w:rPr>
          <w:rFonts w:cs="Arial"/>
        </w:rPr>
        <w:t>2% one minute after it is switched to “Discharge.”</w:t>
      </w:r>
    </w:p>
    <w:p w:rsidR="002613F1" w:rsidRDefault="002613F1" w:rsidP="002613F1">
      <w:pPr>
        <w:pStyle w:val="ListParagraph"/>
        <w:numPr>
          <w:ilvl w:val="0"/>
          <w:numId w:val="6"/>
        </w:numPr>
        <w:spacing w:before="120" w:after="120" w:line="276" w:lineRule="auto"/>
        <w:contextualSpacing w:val="0"/>
        <w:rPr>
          <w:rFonts w:cs="Arial"/>
        </w:rPr>
      </w:pPr>
      <w:r>
        <w:rPr>
          <w:rFonts w:cs="Arial"/>
        </w:rPr>
        <w:t>Switch the Main Heater Switch and mains circuit breaker to “0” (OFF).</w:t>
      </w:r>
      <w:bookmarkStart w:id="4" w:name="_Toc393170532"/>
      <w:bookmarkEnd w:id="4"/>
    </w:p>
    <w:sectPr w:rsidR="00261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11365"/>
    <w:multiLevelType w:val="hybridMultilevel"/>
    <w:tmpl w:val="57860894"/>
    <w:lvl w:ilvl="0" w:tplc="EAFC7778">
      <w:start w:val="1"/>
      <w:numFmt w:val="decimal"/>
      <w:lvlText w:val="%1."/>
      <w:lvlJc w:val="left"/>
      <w:pPr>
        <w:ind w:left="810" w:hanging="360"/>
      </w:pPr>
      <w:rPr>
        <w:rFonts w:ascii="Arial" w:hAnsi="Arial" w:cs="Times New Roman" w:hint="default"/>
        <w:b w:val="0"/>
        <w:i w:val="0"/>
        <w:strike w:val="0"/>
        <w:dstrike w:val="0"/>
        <w:color w:val="auto"/>
        <w:sz w:val="20"/>
        <w:szCs w:val="20"/>
        <w:u w:val="none"/>
        <w:effect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27258E"/>
    <w:multiLevelType w:val="hybridMultilevel"/>
    <w:tmpl w:val="CE4CB93A"/>
    <w:lvl w:ilvl="0" w:tplc="0409000F">
      <w:start w:val="1"/>
      <w:numFmt w:val="decimal"/>
      <w:lvlText w:val="%1."/>
      <w:lvlJc w:val="left"/>
      <w:pPr>
        <w:ind w:left="360" w:hanging="360"/>
      </w:pPr>
    </w:lvl>
    <w:lvl w:ilvl="1" w:tplc="EAFC7778">
      <w:start w:val="1"/>
      <w:numFmt w:val="decimal"/>
      <w:lvlText w:val="%2."/>
      <w:lvlJc w:val="left"/>
      <w:pPr>
        <w:ind w:left="810" w:hanging="360"/>
      </w:pPr>
      <w:rPr>
        <w:rFonts w:ascii="Arial" w:hAnsi="Arial" w:cs="Times New Roman" w:hint="default"/>
        <w:b w:val="0"/>
        <w:i w:val="0"/>
        <w:strike w:val="0"/>
        <w:dstrike w:val="0"/>
        <w:color w:val="auto"/>
        <w:sz w:val="20"/>
        <w:szCs w:val="20"/>
        <w:u w:val="none"/>
        <w:effect w:val="none"/>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51CD7592"/>
    <w:multiLevelType w:val="hybridMultilevel"/>
    <w:tmpl w:val="6944D668"/>
    <w:lvl w:ilvl="0" w:tplc="0409000F">
      <w:start w:val="1"/>
      <w:numFmt w:val="decimal"/>
      <w:lvlText w:val="%1."/>
      <w:lvlJc w:val="left"/>
      <w:pPr>
        <w:ind w:left="360" w:hanging="360"/>
      </w:pPr>
    </w:lvl>
    <w:lvl w:ilvl="1" w:tplc="04090019">
      <w:start w:val="1"/>
      <w:numFmt w:val="lowerLetter"/>
      <w:lvlText w:val="%2."/>
      <w:lvlJc w:val="left"/>
      <w:pPr>
        <w:ind w:left="990" w:hanging="360"/>
      </w:pPr>
    </w:lvl>
    <w:lvl w:ilvl="2" w:tplc="04090001">
      <w:start w:val="1"/>
      <w:numFmt w:val="bullet"/>
      <w:lvlText w:val=""/>
      <w:lvlJc w:val="left"/>
      <w:pPr>
        <w:ind w:left="126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5BF0534A"/>
    <w:multiLevelType w:val="hybridMultilevel"/>
    <w:tmpl w:val="286C1EA8"/>
    <w:lvl w:ilvl="0" w:tplc="EAFC7778">
      <w:start w:val="1"/>
      <w:numFmt w:val="decimal"/>
      <w:lvlText w:val="%1."/>
      <w:lvlJc w:val="left"/>
      <w:pPr>
        <w:ind w:left="810" w:hanging="360"/>
      </w:pPr>
      <w:rPr>
        <w:rFonts w:ascii="Arial" w:hAnsi="Arial" w:cs="Times New Roman" w:hint="default"/>
        <w:b w:val="0"/>
        <w:i w:val="0"/>
        <w:strike w:val="0"/>
        <w:dstrike w:val="0"/>
        <w:color w:val="auto"/>
        <w:sz w:val="20"/>
        <w:szCs w:val="20"/>
        <w:u w:val="none"/>
        <w:effect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721D95"/>
    <w:multiLevelType w:val="hybridMultilevel"/>
    <w:tmpl w:val="2B7A3818"/>
    <w:lvl w:ilvl="0" w:tplc="0409000F">
      <w:start w:val="1"/>
      <w:numFmt w:val="decimal"/>
      <w:lvlText w:val="%1."/>
      <w:lvlJc w:val="left"/>
      <w:pPr>
        <w:ind w:left="360" w:hanging="360"/>
      </w:pPr>
    </w:lvl>
    <w:lvl w:ilvl="1" w:tplc="EAFC7778">
      <w:start w:val="1"/>
      <w:numFmt w:val="decimal"/>
      <w:lvlText w:val="%2."/>
      <w:lvlJc w:val="left"/>
      <w:pPr>
        <w:ind w:left="810" w:hanging="360"/>
      </w:pPr>
      <w:rPr>
        <w:rFonts w:ascii="Arial" w:hAnsi="Arial" w:cs="Times New Roman" w:hint="default"/>
        <w:b w:val="0"/>
        <w:i w:val="0"/>
        <w:strike w:val="0"/>
        <w:dstrike w:val="0"/>
        <w:color w:val="auto"/>
        <w:sz w:val="20"/>
        <w:szCs w:val="20"/>
        <w:u w:val="none"/>
        <w:effect w:val="none"/>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756E3C32"/>
    <w:multiLevelType w:val="hybridMultilevel"/>
    <w:tmpl w:val="DC566D2E"/>
    <w:lvl w:ilvl="0" w:tplc="0409000F">
      <w:start w:val="1"/>
      <w:numFmt w:val="decimal"/>
      <w:lvlText w:val="%1."/>
      <w:lvlJc w:val="left"/>
      <w:pPr>
        <w:ind w:left="360" w:hanging="360"/>
      </w:pPr>
    </w:lvl>
    <w:lvl w:ilvl="1" w:tplc="EAFC7778">
      <w:start w:val="1"/>
      <w:numFmt w:val="decimal"/>
      <w:lvlText w:val="%2."/>
      <w:lvlJc w:val="left"/>
      <w:pPr>
        <w:ind w:left="810" w:hanging="360"/>
      </w:pPr>
      <w:rPr>
        <w:rFonts w:ascii="Arial" w:hAnsi="Arial" w:cs="Times New Roman" w:hint="default"/>
        <w:b w:val="0"/>
        <w:i w:val="0"/>
        <w:strike w:val="0"/>
        <w:dstrike w:val="0"/>
        <w:color w:val="auto"/>
        <w:sz w:val="20"/>
        <w:szCs w:val="20"/>
        <w:u w:val="none"/>
        <w:effect w:val="none"/>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7A7075C6"/>
    <w:multiLevelType w:val="hybridMultilevel"/>
    <w:tmpl w:val="66681490"/>
    <w:lvl w:ilvl="0" w:tplc="1CBCD90C">
      <w:start w:val="1"/>
      <w:numFmt w:val="upperLetter"/>
      <w:pStyle w:val="Appendix"/>
      <w:lvlText w:val="Appendix %1."/>
      <w:lvlJc w:val="left"/>
      <w:pPr>
        <w:ind w:left="810" w:hanging="360"/>
      </w:pPr>
      <w:rPr>
        <w:rFonts w:hint="default"/>
      </w:rPr>
    </w:lvl>
    <w:lvl w:ilvl="1" w:tplc="8E0AB7A8">
      <w:start w:val="1"/>
      <w:numFmt w:val="lowerLetter"/>
      <w:pStyle w:val="Appendix2"/>
      <w:lvlText w:val="%2."/>
      <w:lvlJc w:val="left"/>
      <w:pPr>
        <w:ind w:left="1530" w:hanging="360"/>
      </w:pPr>
    </w:lvl>
    <w:lvl w:ilvl="2" w:tplc="22E6470A" w:tentative="1">
      <w:start w:val="1"/>
      <w:numFmt w:val="lowerRoman"/>
      <w:pStyle w:val="Appendix3"/>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4"/>
  </w:num>
  <w:num w:numId="3">
    <w:abstractNumId w:val="2"/>
  </w:num>
  <w:num w:numId="4">
    <w:abstractNumId w:val="5"/>
  </w:num>
  <w:num w:numId="5">
    <w:abstractNumId w:val="6"/>
    <w:lvlOverride w:ilvl="0">
      <w:lvl w:ilvl="0" w:tplc="1CBCD90C">
        <w:start w:val="1"/>
        <w:numFmt w:val="upperLetter"/>
        <w:pStyle w:val="Appendix"/>
        <w:lvlText w:val="Appendix %1."/>
        <w:lvlJc w:val="left"/>
        <w:pPr>
          <w:ind w:left="450" w:hanging="360"/>
        </w:pPr>
        <w:rPr>
          <w:rFonts w:hint="default"/>
        </w:rPr>
      </w:lvl>
    </w:lvlOverride>
    <w:lvlOverride w:ilvl="1">
      <w:lvl w:ilvl="1" w:tplc="8E0AB7A8">
        <w:start w:val="1"/>
        <w:numFmt w:val="lowerLetter"/>
        <w:pStyle w:val="Appendix2"/>
        <w:lvlText w:val="%2."/>
        <w:lvlJc w:val="left"/>
        <w:pPr>
          <w:ind w:left="1440" w:hanging="360"/>
        </w:pPr>
      </w:lvl>
    </w:lvlOverride>
    <w:lvlOverride w:ilvl="2">
      <w:lvl w:ilvl="2" w:tplc="22E6470A">
        <w:start w:val="1"/>
        <w:numFmt w:val="lowerRoman"/>
        <w:pStyle w:val="Appendix3"/>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3F1"/>
    <w:rsid w:val="00020B24"/>
    <w:rsid w:val="000259C0"/>
    <w:rsid w:val="0003490F"/>
    <w:rsid w:val="00044873"/>
    <w:rsid w:val="00076F09"/>
    <w:rsid w:val="00080CF8"/>
    <w:rsid w:val="0008580F"/>
    <w:rsid w:val="000914E9"/>
    <w:rsid w:val="00095455"/>
    <w:rsid w:val="000B074C"/>
    <w:rsid w:val="000B4F48"/>
    <w:rsid w:val="000D4BF6"/>
    <w:rsid w:val="000E0101"/>
    <w:rsid w:val="000E47E3"/>
    <w:rsid w:val="000F6E48"/>
    <w:rsid w:val="00102B7C"/>
    <w:rsid w:val="0012007F"/>
    <w:rsid w:val="001379B3"/>
    <w:rsid w:val="0015428C"/>
    <w:rsid w:val="00154F5F"/>
    <w:rsid w:val="001550D8"/>
    <w:rsid w:val="00174AD1"/>
    <w:rsid w:val="0018395C"/>
    <w:rsid w:val="00184B86"/>
    <w:rsid w:val="001B02F4"/>
    <w:rsid w:val="001B4E20"/>
    <w:rsid w:val="001E25CE"/>
    <w:rsid w:val="001F1B60"/>
    <w:rsid w:val="001F35D4"/>
    <w:rsid w:val="00207101"/>
    <w:rsid w:val="00217F86"/>
    <w:rsid w:val="00237E28"/>
    <w:rsid w:val="00237EBD"/>
    <w:rsid w:val="002613F1"/>
    <w:rsid w:val="002942B2"/>
    <w:rsid w:val="002A69A6"/>
    <w:rsid w:val="002A70D4"/>
    <w:rsid w:val="002D3705"/>
    <w:rsid w:val="00306147"/>
    <w:rsid w:val="0030626D"/>
    <w:rsid w:val="0031210B"/>
    <w:rsid w:val="00317289"/>
    <w:rsid w:val="003249D8"/>
    <w:rsid w:val="0032727C"/>
    <w:rsid w:val="00345815"/>
    <w:rsid w:val="00360C88"/>
    <w:rsid w:val="003636E6"/>
    <w:rsid w:val="00376B9A"/>
    <w:rsid w:val="0038039F"/>
    <w:rsid w:val="00382B02"/>
    <w:rsid w:val="00395768"/>
    <w:rsid w:val="003B025E"/>
    <w:rsid w:val="003C3249"/>
    <w:rsid w:val="003C7680"/>
    <w:rsid w:val="003C7798"/>
    <w:rsid w:val="003F0764"/>
    <w:rsid w:val="003F7856"/>
    <w:rsid w:val="003F7CD1"/>
    <w:rsid w:val="00410871"/>
    <w:rsid w:val="00417173"/>
    <w:rsid w:val="004253C8"/>
    <w:rsid w:val="004540AB"/>
    <w:rsid w:val="004762F1"/>
    <w:rsid w:val="0047739C"/>
    <w:rsid w:val="004D413C"/>
    <w:rsid w:val="0053790A"/>
    <w:rsid w:val="00537DDE"/>
    <w:rsid w:val="0054366F"/>
    <w:rsid w:val="00550025"/>
    <w:rsid w:val="00580493"/>
    <w:rsid w:val="005A2185"/>
    <w:rsid w:val="005B573C"/>
    <w:rsid w:val="005B5F4A"/>
    <w:rsid w:val="005F6A5A"/>
    <w:rsid w:val="006121D9"/>
    <w:rsid w:val="00612B21"/>
    <w:rsid w:val="006466CF"/>
    <w:rsid w:val="0065294A"/>
    <w:rsid w:val="00687DB3"/>
    <w:rsid w:val="00694365"/>
    <w:rsid w:val="006B3046"/>
    <w:rsid w:val="006C5D3E"/>
    <w:rsid w:val="006D760B"/>
    <w:rsid w:val="006F78E6"/>
    <w:rsid w:val="006F7BAC"/>
    <w:rsid w:val="0070461F"/>
    <w:rsid w:val="007441CF"/>
    <w:rsid w:val="007903F3"/>
    <w:rsid w:val="007B0020"/>
    <w:rsid w:val="007B1A4B"/>
    <w:rsid w:val="007D0704"/>
    <w:rsid w:val="007D224D"/>
    <w:rsid w:val="007D3A70"/>
    <w:rsid w:val="007D6799"/>
    <w:rsid w:val="007E64C7"/>
    <w:rsid w:val="00800DA8"/>
    <w:rsid w:val="0080466A"/>
    <w:rsid w:val="008256C3"/>
    <w:rsid w:val="00894FD7"/>
    <w:rsid w:val="008B58EE"/>
    <w:rsid w:val="008D75AB"/>
    <w:rsid w:val="008E2FF2"/>
    <w:rsid w:val="00917C70"/>
    <w:rsid w:val="00924539"/>
    <w:rsid w:val="009442DD"/>
    <w:rsid w:val="00957B3A"/>
    <w:rsid w:val="00981DB4"/>
    <w:rsid w:val="009A6632"/>
    <w:rsid w:val="009A75B8"/>
    <w:rsid w:val="009B57C6"/>
    <w:rsid w:val="00A00F03"/>
    <w:rsid w:val="00A07402"/>
    <w:rsid w:val="00A13532"/>
    <w:rsid w:val="00A35909"/>
    <w:rsid w:val="00A422DF"/>
    <w:rsid w:val="00A72335"/>
    <w:rsid w:val="00AA64A4"/>
    <w:rsid w:val="00AC5642"/>
    <w:rsid w:val="00AD2A87"/>
    <w:rsid w:val="00AE1ADB"/>
    <w:rsid w:val="00B23C60"/>
    <w:rsid w:val="00B356E7"/>
    <w:rsid w:val="00B457BD"/>
    <w:rsid w:val="00B4657B"/>
    <w:rsid w:val="00B47657"/>
    <w:rsid w:val="00B761DD"/>
    <w:rsid w:val="00BE2531"/>
    <w:rsid w:val="00C02F34"/>
    <w:rsid w:val="00C07BD6"/>
    <w:rsid w:val="00C137CD"/>
    <w:rsid w:val="00C145B8"/>
    <w:rsid w:val="00C145DC"/>
    <w:rsid w:val="00C158A2"/>
    <w:rsid w:val="00C25A53"/>
    <w:rsid w:val="00C32FFA"/>
    <w:rsid w:val="00C55BE9"/>
    <w:rsid w:val="00C65699"/>
    <w:rsid w:val="00C7366E"/>
    <w:rsid w:val="00C74FBE"/>
    <w:rsid w:val="00CB0C29"/>
    <w:rsid w:val="00CE1145"/>
    <w:rsid w:val="00CF3FF2"/>
    <w:rsid w:val="00D1017E"/>
    <w:rsid w:val="00D15587"/>
    <w:rsid w:val="00D412FB"/>
    <w:rsid w:val="00D44A28"/>
    <w:rsid w:val="00D76377"/>
    <w:rsid w:val="00D93F96"/>
    <w:rsid w:val="00D95457"/>
    <w:rsid w:val="00D97220"/>
    <w:rsid w:val="00DC4EBD"/>
    <w:rsid w:val="00DE52D9"/>
    <w:rsid w:val="00DF03E0"/>
    <w:rsid w:val="00DF3C00"/>
    <w:rsid w:val="00E01DD1"/>
    <w:rsid w:val="00E32BE6"/>
    <w:rsid w:val="00E34C73"/>
    <w:rsid w:val="00E55366"/>
    <w:rsid w:val="00E752CE"/>
    <w:rsid w:val="00EC651B"/>
    <w:rsid w:val="00ED4F24"/>
    <w:rsid w:val="00EE4229"/>
    <w:rsid w:val="00EE51B0"/>
    <w:rsid w:val="00EF11DB"/>
    <w:rsid w:val="00F03171"/>
    <w:rsid w:val="00F1615F"/>
    <w:rsid w:val="00F470E5"/>
    <w:rsid w:val="00F51E01"/>
    <w:rsid w:val="00F54E36"/>
    <w:rsid w:val="00F63F28"/>
    <w:rsid w:val="00F87013"/>
    <w:rsid w:val="00FA4B5E"/>
    <w:rsid w:val="00FA73BA"/>
    <w:rsid w:val="00FC3FE1"/>
    <w:rsid w:val="00FD5844"/>
    <w:rsid w:val="00FE23BA"/>
    <w:rsid w:val="00FF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3F1"/>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2613F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3F1"/>
    <w:pPr>
      <w:ind w:left="720"/>
      <w:contextualSpacing/>
    </w:pPr>
  </w:style>
  <w:style w:type="paragraph" w:customStyle="1" w:styleId="figure">
    <w:name w:val="figure"/>
    <w:basedOn w:val="Normal"/>
    <w:uiPriority w:val="99"/>
    <w:rsid w:val="002613F1"/>
    <w:pPr>
      <w:spacing w:before="120"/>
      <w:jc w:val="center"/>
    </w:pPr>
    <w:rPr>
      <w:rFonts w:ascii="Times New Roman" w:hAnsi="Times New Roman"/>
      <w:sz w:val="22"/>
      <w:szCs w:val="20"/>
    </w:rPr>
  </w:style>
  <w:style w:type="paragraph" w:customStyle="1" w:styleId="Figuur">
    <w:name w:val="Figuur"/>
    <w:basedOn w:val="Normal"/>
    <w:uiPriority w:val="99"/>
    <w:rsid w:val="002613F1"/>
    <w:pPr>
      <w:keepNext/>
      <w:spacing w:before="240"/>
      <w:jc w:val="center"/>
    </w:pPr>
    <w:rPr>
      <w:szCs w:val="20"/>
    </w:rPr>
  </w:style>
  <w:style w:type="paragraph" w:customStyle="1" w:styleId="Appendix">
    <w:name w:val="Appendix"/>
    <w:basedOn w:val="Heading1"/>
    <w:link w:val="AppendixChar"/>
    <w:qFormat/>
    <w:rsid w:val="002613F1"/>
    <w:pPr>
      <w:numPr>
        <w:numId w:val="5"/>
      </w:numPr>
      <w:tabs>
        <w:tab w:val="left" w:pos="1800"/>
        <w:tab w:val="center" w:pos="4820"/>
        <w:tab w:val="right" w:pos="9639"/>
      </w:tabs>
      <w:spacing w:before="360" w:after="120"/>
      <w:ind w:left="810"/>
    </w:pPr>
    <w:rPr>
      <w:rFonts w:ascii="Arial" w:hAnsi="Arial" w:cs="Times New Roman"/>
      <w:b/>
      <w:sz w:val="28"/>
      <w:szCs w:val="28"/>
    </w:rPr>
  </w:style>
  <w:style w:type="character" w:customStyle="1" w:styleId="AppendixChar">
    <w:name w:val="Appendix Char"/>
    <w:basedOn w:val="DefaultParagraphFont"/>
    <w:link w:val="Appendix"/>
    <w:rsid w:val="002613F1"/>
    <w:rPr>
      <w:rFonts w:ascii="Arial" w:eastAsiaTheme="majorEastAsia" w:hAnsi="Arial" w:cs="Times New Roman"/>
      <w:b/>
      <w:color w:val="2E74B5" w:themeColor="accent1" w:themeShade="BF"/>
      <w:sz w:val="28"/>
      <w:szCs w:val="28"/>
    </w:rPr>
  </w:style>
  <w:style w:type="paragraph" w:customStyle="1" w:styleId="Appendix2">
    <w:name w:val="Appendix 2"/>
    <w:basedOn w:val="Appendix"/>
    <w:qFormat/>
    <w:rsid w:val="002613F1"/>
    <w:pPr>
      <w:numPr>
        <w:ilvl w:val="1"/>
      </w:numPr>
      <w:tabs>
        <w:tab w:val="num" w:pos="360"/>
      </w:tabs>
      <w:ind w:left="540"/>
    </w:pPr>
    <w:rPr>
      <w:sz w:val="26"/>
      <w:szCs w:val="26"/>
    </w:rPr>
  </w:style>
  <w:style w:type="paragraph" w:customStyle="1" w:styleId="Appendix3">
    <w:name w:val="Appendix 3"/>
    <w:basedOn w:val="Appendix"/>
    <w:qFormat/>
    <w:rsid w:val="002613F1"/>
    <w:pPr>
      <w:numPr>
        <w:ilvl w:val="2"/>
      </w:numPr>
      <w:tabs>
        <w:tab w:val="num" w:pos="360"/>
      </w:tabs>
      <w:spacing w:before="240" w:after="0"/>
    </w:pPr>
    <w:rPr>
      <w:sz w:val="20"/>
      <w:szCs w:val="20"/>
    </w:rPr>
  </w:style>
  <w:style w:type="character" w:customStyle="1" w:styleId="Heading1Char">
    <w:name w:val="Heading 1 Char"/>
    <w:basedOn w:val="DefaultParagraphFont"/>
    <w:link w:val="Heading1"/>
    <w:uiPriority w:val="9"/>
    <w:rsid w:val="002613F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0466A"/>
    <w:rPr>
      <w:rFonts w:ascii="Tahoma" w:hAnsi="Tahoma" w:cs="Tahoma"/>
      <w:sz w:val="16"/>
      <w:szCs w:val="16"/>
    </w:rPr>
  </w:style>
  <w:style w:type="character" w:customStyle="1" w:styleId="BalloonTextChar">
    <w:name w:val="Balloon Text Char"/>
    <w:basedOn w:val="DefaultParagraphFont"/>
    <w:link w:val="BalloonText"/>
    <w:uiPriority w:val="99"/>
    <w:semiHidden/>
    <w:rsid w:val="0080466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3F1"/>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2613F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3F1"/>
    <w:pPr>
      <w:ind w:left="720"/>
      <w:contextualSpacing/>
    </w:pPr>
  </w:style>
  <w:style w:type="paragraph" w:customStyle="1" w:styleId="figure">
    <w:name w:val="figure"/>
    <w:basedOn w:val="Normal"/>
    <w:uiPriority w:val="99"/>
    <w:rsid w:val="002613F1"/>
    <w:pPr>
      <w:spacing w:before="120"/>
      <w:jc w:val="center"/>
    </w:pPr>
    <w:rPr>
      <w:rFonts w:ascii="Times New Roman" w:hAnsi="Times New Roman"/>
      <w:sz w:val="22"/>
      <w:szCs w:val="20"/>
    </w:rPr>
  </w:style>
  <w:style w:type="paragraph" w:customStyle="1" w:styleId="Figuur">
    <w:name w:val="Figuur"/>
    <w:basedOn w:val="Normal"/>
    <w:uiPriority w:val="99"/>
    <w:rsid w:val="002613F1"/>
    <w:pPr>
      <w:keepNext/>
      <w:spacing w:before="240"/>
      <w:jc w:val="center"/>
    </w:pPr>
    <w:rPr>
      <w:szCs w:val="20"/>
    </w:rPr>
  </w:style>
  <w:style w:type="paragraph" w:customStyle="1" w:styleId="Appendix">
    <w:name w:val="Appendix"/>
    <w:basedOn w:val="Heading1"/>
    <w:link w:val="AppendixChar"/>
    <w:qFormat/>
    <w:rsid w:val="002613F1"/>
    <w:pPr>
      <w:numPr>
        <w:numId w:val="5"/>
      </w:numPr>
      <w:tabs>
        <w:tab w:val="left" w:pos="1800"/>
        <w:tab w:val="center" w:pos="4820"/>
        <w:tab w:val="right" w:pos="9639"/>
      </w:tabs>
      <w:spacing w:before="360" w:after="120"/>
      <w:ind w:left="810"/>
    </w:pPr>
    <w:rPr>
      <w:rFonts w:ascii="Arial" w:hAnsi="Arial" w:cs="Times New Roman"/>
      <w:b/>
      <w:sz w:val="28"/>
      <w:szCs w:val="28"/>
    </w:rPr>
  </w:style>
  <w:style w:type="character" w:customStyle="1" w:styleId="AppendixChar">
    <w:name w:val="Appendix Char"/>
    <w:basedOn w:val="DefaultParagraphFont"/>
    <w:link w:val="Appendix"/>
    <w:rsid w:val="002613F1"/>
    <w:rPr>
      <w:rFonts w:ascii="Arial" w:eastAsiaTheme="majorEastAsia" w:hAnsi="Arial" w:cs="Times New Roman"/>
      <w:b/>
      <w:color w:val="2E74B5" w:themeColor="accent1" w:themeShade="BF"/>
      <w:sz w:val="28"/>
      <w:szCs w:val="28"/>
    </w:rPr>
  </w:style>
  <w:style w:type="paragraph" w:customStyle="1" w:styleId="Appendix2">
    <w:name w:val="Appendix 2"/>
    <w:basedOn w:val="Appendix"/>
    <w:qFormat/>
    <w:rsid w:val="002613F1"/>
    <w:pPr>
      <w:numPr>
        <w:ilvl w:val="1"/>
      </w:numPr>
      <w:tabs>
        <w:tab w:val="num" w:pos="360"/>
      </w:tabs>
      <w:ind w:left="540"/>
    </w:pPr>
    <w:rPr>
      <w:sz w:val="26"/>
      <w:szCs w:val="26"/>
    </w:rPr>
  </w:style>
  <w:style w:type="paragraph" w:customStyle="1" w:styleId="Appendix3">
    <w:name w:val="Appendix 3"/>
    <w:basedOn w:val="Appendix"/>
    <w:qFormat/>
    <w:rsid w:val="002613F1"/>
    <w:pPr>
      <w:numPr>
        <w:ilvl w:val="2"/>
      </w:numPr>
      <w:tabs>
        <w:tab w:val="num" w:pos="360"/>
      </w:tabs>
      <w:spacing w:before="240" w:after="0"/>
    </w:pPr>
    <w:rPr>
      <w:sz w:val="20"/>
      <w:szCs w:val="20"/>
    </w:rPr>
  </w:style>
  <w:style w:type="character" w:customStyle="1" w:styleId="Heading1Char">
    <w:name w:val="Heading 1 Char"/>
    <w:basedOn w:val="DefaultParagraphFont"/>
    <w:link w:val="Heading1"/>
    <w:uiPriority w:val="9"/>
    <w:rsid w:val="002613F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0466A"/>
    <w:rPr>
      <w:rFonts w:ascii="Tahoma" w:hAnsi="Tahoma" w:cs="Tahoma"/>
      <w:sz w:val="16"/>
      <w:szCs w:val="16"/>
    </w:rPr>
  </w:style>
  <w:style w:type="character" w:customStyle="1" w:styleId="BalloonTextChar">
    <w:name w:val="Balloon Text Char"/>
    <w:basedOn w:val="DefaultParagraphFont"/>
    <w:link w:val="BalloonText"/>
    <w:uiPriority w:val="99"/>
    <w:semiHidden/>
    <w:rsid w:val="008046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Philips</dc:creator>
  <cp:lastModifiedBy>Philips</cp:lastModifiedBy>
  <cp:revision>2</cp:revision>
  <dcterms:created xsi:type="dcterms:W3CDTF">2015-06-24T19:03:00Z</dcterms:created>
  <dcterms:modified xsi:type="dcterms:W3CDTF">2015-06-24T19:03:00Z</dcterms:modified>
</cp:coreProperties>
</file>